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59" w:type="dxa"/>
        <w:tblInd w:w="108" w:type="dxa"/>
        <w:tblLayout w:type="fixed"/>
        <w:tblLook w:val="0000" w:firstRow="0" w:lastRow="0" w:firstColumn="0" w:lastColumn="0" w:noHBand="0" w:noVBand="0"/>
      </w:tblPr>
      <w:tblGrid>
        <w:gridCol w:w="4962"/>
        <w:gridCol w:w="9497"/>
      </w:tblGrid>
      <w:tr>
        <w:tc>
          <w:tcPr>
            <w:tcW w:w="4962" w:type="dxa"/>
          </w:tcPr>
          <w:p>
            <w:pPr>
              <w:spacing w:after="0" w:line="240" w:lineRule="auto"/>
              <w:jc w:val="center"/>
              <w:rPr>
                <w:rFonts w:ascii="Times New Roman" w:hAnsi="Times New Roman"/>
                <w:sz w:val="28"/>
                <w:szCs w:val="28"/>
                <w:lang w:val="vi-VN"/>
              </w:rPr>
            </w:pPr>
            <w:r>
              <w:rPr>
                <w:rFonts w:ascii="Times New Roman" w:hAnsi="Times New Roman"/>
                <w:sz w:val="28"/>
                <w:szCs w:val="28"/>
                <w:lang w:val="vi-VN"/>
              </w:rPr>
              <w:t>UBND TỈNH BẮC NINH</w:t>
            </w:r>
          </w:p>
          <w:p>
            <w:pPr>
              <w:spacing w:after="0" w:line="240" w:lineRule="auto"/>
              <w:jc w:val="center"/>
              <w:rPr>
                <w:rFonts w:ascii="Times New Roman" w:hAnsi="Times New Roman"/>
                <w:sz w:val="28"/>
                <w:szCs w:val="28"/>
              </w:rPr>
            </w:pPr>
            <w:r>
              <w:rPr>
                <w:rFonts w:ascii="Times New Roman" w:hAnsi="Times New Roman"/>
                <w:b/>
                <w:sz w:val="28"/>
                <w:szCs w:val="28"/>
              </w:rPr>
              <w:t>SỞ  Y TẾ</w:t>
            </w:r>
          </w:p>
          <w:p>
            <w:pPr>
              <w:spacing w:after="0" w:line="240" w:lineRule="auto"/>
              <w:jc w:val="center"/>
              <w:rPr>
                <w:sz w:val="28"/>
                <w:szCs w:val="28"/>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1220470</wp:posOffset>
                      </wp:positionH>
                      <wp:positionV relativeFrom="paragraph">
                        <wp:posOffset>-636</wp:posOffset>
                      </wp:positionV>
                      <wp:extent cx="6191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1pt,-.05pt" to="144.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"/>
                  </w:pict>
                </mc:Fallback>
              </mc:AlternateContent>
            </w:r>
          </w:p>
          <w:p>
            <w:pPr>
              <w:spacing w:after="0" w:line="240" w:lineRule="auto"/>
              <w:jc w:val="center"/>
              <w:rPr>
                <w:sz w:val="28"/>
                <w:szCs w:val="28"/>
              </w:rPr>
            </w:pPr>
          </w:p>
        </w:tc>
        <w:tc>
          <w:tcPr>
            <w:tcW w:w="9497" w:type="dxa"/>
          </w:tcPr>
          <w:p>
            <w:pPr>
              <w:spacing w:after="0" w:line="240" w:lineRule="auto"/>
              <w:jc w:val="center"/>
              <w:rPr>
                <w:rFonts w:ascii="Times New Roman" w:hAnsi="Times New Roman"/>
                <w:b/>
                <w:sz w:val="26"/>
                <w:szCs w:val="28"/>
              </w:rPr>
            </w:pPr>
            <w:r>
              <w:rPr>
                <w:rFonts w:ascii="Times New Roman" w:hAnsi="Times New Roman"/>
                <w:b/>
                <w:sz w:val="26"/>
                <w:szCs w:val="28"/>
              </w:rPr>
              <w:t>CỘNG HÒA XÃ HỘI CHỦ NGHĨA VIỆT NAM</w:t>
            </w:r>
          </w:p>
          <w:p>
            <w:pPr>
              <w:spacing w:after="0" w:line="240" w:lineRule="auto"/>
              <w:jc w:val="center"/>
              <w:rPr>
                <w:rFonts w:ascii="Times New Roman" w:hAnsi="Times New Roman"/>
                <w:b/>
                <w:sz w:val="28"/>
                <w:szCs w:val="28"/>
              </w:rPr>
            </w:pPr>
            <w:r>
              <w:rPr>
                <w:rFonts w:ascii="Times New Roman" w:hAnsi="Times New Roman"/>
                <w:b/>
                <w:sz w:val="28"/>
                <w:szCs w:val="28"/>
              </w:rPr>
              <w:t xml:space="preserve">Độc lập - Tự do - Hạnh phúc </w:t>
            </w:r>
          </w:p>
          <w:p>
            <w:pPr>
              <w:spacing w:after="0" w:line="240" w:lineRule="auto"/>
              <w:jc w:val="center"/>
              <w:rPr>
                <w:rFonts w:ascii="Times New Roman" w:hAnsi="Times New Roman"/>
                <w:sz w:val="28"/>
                <w:szCs w:val="28"/>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1869440</wp:posOffset>
                      </wp:positionH>
                      <wp:positionV relativeFrom="paragraph">
                        <wp:posOffset>13969</wp:posOffset>
                      </wp:positionV>
                      <wp:extent cx="2173605" cy="0"/>
                      <wp:effectExtent l="0" t="0" r="361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2pt,1.1pt" to="318.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l9V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"/>
                  </w:pict>
                </mc:Fallback>
              </mc:AlternateContent>
            </w:r>
            <w:r>
              <w:rPr>
                <w:rFonts w:ascii="Times New Roman" w:hAnsi="Times New Roman"/>
                <w:sz w:val="28"/>
                <w:szCs w:val="28"/>
              </w:rPr>
              <w:t xml:space="preserve">                      </w:t>
            </w:r>
          </w:p>
          <w:p>
            <w:pPr>
              <w:spacing w:after="0" w:line="240" w:lineRule="auto"/>
              <w:rPr>
                <w:rFonts w:ascii="Times New Roman" w:hAnsi="Times New Roman"/>
                <w:i/>
                <w:sz w:val="28"/>
                <w:szCs w:val="28"/>
              </w:rPr>
            </w:pPr>
            <w:r>
              <w:rPr>
                <w:rFonts w:ascii="Times New Roman" w:hAnsi="Times New Roman"/>
                <w:i/>
                <w:sz w:val="28"/>
                <w:szCs w:val="28"/>
              </w:rPr>
              <w:t xml:space="preserve">                                                             </w:t>
            </w:r>
            <w:r>
              <w:rPr>
                <w:rFonts w:ascii="Times New Roman" w:hAnsi="Times New Roman"/>
                <w:i/>
                <w:sz w:val="28"/>
                <w:szCs w:val="28"/>
                <w:lang w:val="vi-VN"/>
              </w:rPr>
              <w:t>Bắc Ninh</w:t>
            </w:r>
            <w:r>
              <w:rPr>
                <w:rFonts w:ascii="Times New Roman" w:hAnsi="Times New Roman"/>
                <w:i/>
                <w:sz w:val="28"/>
                <w:szCs w:val="28"/>
              </w:rPr>
              <w:t>, ngày 08 tháng 5 năm 2026</w:t>
            </w:r>
          </w:p>
        </w:tc>
      </w:tr>
      <w:tr>
        <w:trPr>
          <w:trHeight w:val="88"/>
        </w:trPr>
        <w:tc>
          <w:tcPr>
            <w:tcW w:w="4962" w:type="dxa"/>
          </w:tcPr>
          <w:p>
            <w:pPr>
              <w:spacing w:after="0" w:line="240" w:lineRule="auto"/>
              <w:rPr>
                <w:rFonts w:ascii="Times New Roman" w:hAnsi="Times New Roman"/>
                <w:sz w:val="28"/>
                <w:szCs w:val="28"/>
                <w:lang w:val="vi-VN"/>
              </w:rPr>
            </w:pPr>
          </w:p>
        </w:tc>
        <w:tc>
          <w:tcPr>
            <w:tcW w:w="9497" w:type="dxa"/>
          </w:tcPr>
          <w:p>
            <w:pPr>
              <w:spacing w:after="0" w:line="240" w:lineRule="auto"/>
              <w:jc w:val="center"/>
              <w:rPr>
                <w:rFonts w:ascii="Times New Roman" w:hAnsi="Times New Roman"/>
                <w:b/>
                <w:sz w:val="26"/>
                <w:szCs w:val="28"/>
              </w:rPr>
            </w:pPr>
          </w:p>
        </w:tc>
      </w:tr>
    </w:tbl>
    <w:p>
      <w:pPr>
        <w:spacing w:after="0" w:line="240" w:lineRule="auto"/>
        <w:jc w:val="center"/>
        <w:rPr>
          <w:rFonts w:ascii="Times New Roman" w:hAnsi="Times New Roman"/>
          <w:b/>
          <w:sz w:val="28"/>
          <w:szCs w:val="24"/>
        </w:rPr>
      </w:pPr>
      <w:r>
        <w:rPr>
          <w:rFonts w:ascii="Times New Roman" w:hAnsi="Times New Roman"/>
          <w:b/>
          <w:sz w:val="28"/>
          <w:szCs w:val="24"/>
        </w:rPr>
        <w:t xml:space="preserve">BẢN THUYẾT MINH </w:t>
      </w:r>
    </w:p>
    <w:p>
      <w:pPr>
        <w:spacing w:after="0" w:line="320" w:lineRule="exact"/>
        <w:jc w:val="center"/>
        <w:rPr>
          <w:rFonts w:ascii="Times New Roman" w:hAnsi="Times New Roman" w:cs="Times New Roman"/>
          <w:b/>
          <w:bCs/>
          <w:sz w:val="28"/>
          <w:szCs w:val="28"/>
          <w:lang w:val="nl-NL"/>
        </w:rPr>
      </w:pPr>
      <w:r>
        <w:rPr>
          <w:rFonts w:ascii="Times New Roman" w:hAnsi="Times New Roman" w:cs="Times New Roman"/>
          <w:b/>
          <w:sz w:val="28"/>
          <w:szCs w:val="28"/>
        </w:rPr>
        <w:t xml:space="preserve">Nội dung dự thảo Nghị quyết </w:t>
      </w:r>
      <w:r>
        <w:rPr>
          <w:rFonts w:ascii="Times New Roman" w:hAnsi="Times New Roman" w:cs="Times New Roman"/>
          <w:b/>
          <w:bCs/>
          <w:sz w:val="28"/>
          <w:szCs w:val="28"/>
          <w:lang w:val="nl-NL"/>
        </w:rPr>
        <w:t>Quy định mức hỗ trợ kinh phí cho Câu lạc bộ liên thế hệ</w:t>
      </w:r>
    </w:p>
    <w:p>
      <w:pPr>
        <w:spacing w:after="0" w:line="320" w:lineRule="exact"/>
        <w:jc w:val="center"/>
        <w:rPr>
          <w:rFonts w:ascii="Times New Roman" w:hAnsi="Times New Roman" w:cs="Times New Roman"/>
          <w:b/>
          <w:sz w:val="28"/>
          <w:szCs w:val="28"/>
        </w:rPr>
      </w:pPr>
      <w:r>
        <w:rPr>
          <w:rFonts w:ascii="Times New Roman" w:hAnsi="Times New Roman" w:cs="Times New Roman"/>
          <w:b/>
          <w:bCs/>
          <w:sz w:val="28"/>
          <w:szCs w:val="28"/>
          <w:lang w:val="nl-NL"/>
        </w:rPr>
        <w:t>tự giúp nhau được thành lập mới trên địa bàn tỉnh Bắc Ninh, giai đoạn 2026-2035</w:t>
      </w:r>
    </w:p>
    <w:p>
      <w:pPr>
        <w:spacing w:after="0" w:line="320" w:lineRule="exact"/>
        <w:jc w:val="center"/>
        <w:rPr>
          <w:rFonts w:ascii="Times New Roman" w:hAnsi="Times New Roman" w:cs="Times New Roman"/>
          <w:b/>
          <w:sz w:val="28"/>
          <w:szCs w:val="28"/>
        </w:rPr>
      </w:pPr>
    </w:p>
    <w:tbl>
      <w:tblPr>
        <w:tblStyle w:val="TableGrid"/>
        <w:tblW w:w="15446" w:type="dxa"/>
        <w:tblLook w:val="04A0" w:firstRow="1" w:lastRow="0" w:firstColumn="1" w:lastColumn="0" w:noHBand="0" w:noVBand="1"/>
      </w:tblPr>
      <w:tblGrid>
        <w:gridCol w:w="708"/>
        <w:gridCol w:w="4532"/>
        <w:gridCol w:w="6095"/>
        <w:gridCol w:w="4111"/>
      </w:tblGrid>
      <w:tr>
        <w:tc>
          <w:tcPr>
            <w:tcW w:w="708" w:type="dxa"/>
          </w:tcPr>
          <w:p>
            <w:pPr>
              <w:spacing w:line="320" w:lineRule="exact"/>
              <w:jc w:val="center"/>
              <w:rPr>
                <w:rFonts w:ascii="Times New Roman" w:hAnsi="Times New Roman" w:cs="Times New Roman"/>
                <w:b/>
                <w:sz w:val="26"/>
                <w:szCs w:val="26"/>
              </w:rPr>
            </w:pPr>
            <w:r>
              <w:rPr>
                <w:rFonts w:ascii="Times New Roman" w:hAnsi="Times New Roman" w:cs="Times New Roman"/>
                <w:b/>
                <w:sz w:val="26"/>
                <w:szCs w:val="26"/>
              </w:rPr>
              <w:t>STT</w:t>
            </w:r>
          </w:p>
        </w:tc>
        <w:tc>
          <w:tcPr>
            <w:tcW w:w="4532" w:type="dxa"/>
          </w:tcPr>
          <w:p>
            <w:pPr>
              <w:spacing w:line="320" w:lineRule="exact"/>
              <w:jc w:val="center"/>
              <w:rPr>
                <w:rFonts w:ascii="Times New Roman" w:hAnsi="Times New Roman" w:cs="Times New Roman"/>
                <w:b/>
                <w:sz w:val="26"/>
                <w:szCs w:val="26"/>
              </w:rPr>
            </w:pPr>
            <w:r>
              <w:rPr>
                <w:rFonts w:ascii="Times New Roman" w:hAnsi="Times New Roman" w:cs="Times New Roman"/>
                <w:b/>
                <w:sz w:val="26"/>
                <w:szCs w:val="26"/>
              </w:rPr>
              <w:t>Quy định pháp luật hiện hành</w:t>
            </w:r>
          </w:p>
        </w:tc>
        <w:tc>
          <w:tcPr>
            <w:tcW w:w="6095" w:type="dxa"/>
          </w:tcPr>
          <w:p>
            <w:pPr>
              <w:spacing w:line="320" w:lineRule="exact"/>
              <w:jc w:val="center"/>
              <w:rPr>
                <w:rFonts w:ascii="Times New Roman" w:hAnsi="Times New Roman" w:cs="Times New Roman"/>
                <w:b/>
                <w:sz w:val="26"/>
                <w:szCs w:val="26"/>
              </w:rPr>
            </w:pPr>
            <w:r>
              <w:rPr>
                <w:rFonts w:ascii="Times New Roman" w:hAnsi="Times New Roman" w:cs="Times New Roman"/>
                <w:b/>
                <w:sz w:val="26"/>
                <w:szCs w:val="26"/>
              </w:rPr>
              <w:t>Dự thảo Nghị quyết</w:t>
            </w:r>
          </w:p>
        </w:tc>
        <w:tc>
          <w:tcPr>
            <w:tcW w:w="4111" w:type="dxa"/>
          </w:tcPr>
          <w:p>
            <w:pPr>
              <w:spacing w:line="320" w:lineRule="exact"/>
              <w:jc w:val="center"/>
              <w:rPr>
                <w:rFonts w:ascii="Times New Roman" w:hAnsi="Times New Roman" w:cs="Times New Roman"/>
                <w:b/>
                <w:sz w:val="26"/>
                <w:szCs w:val="26"/>
              </w:rPr>
            </w:pPr>
            <w:r>
              <w:rPr>
                <w:rFonts w:ascii="Times New Roman" w:hAnsi="Times New Roman" w:cs="Times New Roman"/>
                <w:b/>
                <w:sz w:val="26"/>
                <w:szCs w:val="26"/>
              </w:rPr>
              <w:t>Thuyết minh</w:t>
            </w:r>
          </w:p>
        </w:tc>
      </w:tr>
      <w:tr>
        <w:tc>
          <w:tcPr>
            <w:tcW w:w="708" w:type="dxa"/>
          </w:tcPr>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4532" w:type="dxa"/>
          </w:tcPr>
          <w:p>
            <w:pPr>
              <w:spacing w:line="320" w:lineRule="exact"/>
              <w:jc w:val="both"/>
              <w:rPr>
                <w:rFonts w:ascii="Times New Roman" w:hAnsi="Times New Roman" w:cs="Times New Roman"/>
                <w:bCs/>
                <w:sz w:val="26"/>
                <w:szCs w:val="26"/>
              </w:rPr>
            </w:pPr>
            <w:r>
              <w:rPr>
                <w:rFonts w:ascii="Times New Roman" w:hAnsi="Times New Roman" w:cs="Times New Roman"/>
                <w:sz w:val="26"/>
                <w:szCs w:val="26"/>
                <w:lang w:val="nl-NL"/>
              </w:rPr>
              <w:t xml:space="preserve">- </w:t>
            </w:r>
            <w:r>
              <w:rPr>
                <w:rFonts w:ascii="Times New Roman" w:hAnsi="Times New Roman" w:cs="Times New Roman"/>
                <w:bCs/>
                <w:sz w:val="26"/>
                <w:szCs w:val="26"/>
              </w:rPr>
              <w:t xml:space="preserve">Nghị quyết số 15/2021/NQ-HĐND ngày 08 tháng 12 năm 2021 của Hội đồng nhân dân tỉnh Bắc Ninh </w:t>
            </w:r>
          </w:p>
          <w:p>
            <w:pPr>
              <w:spacing w:line="320" w:lineRule="exact"/>
              <w:jc w:val="both"/>
              <w:rPr>
                <w:rFonts w:ascii="Times New Roman" w:hAnsi="Times New Roman" w:cs="Times New Roman"/>
                <w:sz w:val="26"/>
                <w:szCs w:val="26"/>
              </w:rPr>
            </w:pPr>
            <w:r>
              <w:rPr>
                <w:rFonts w:ascii="Times New Roman" w:hAnsi="Times New Roman" w:cs="Times New Roman"/>
                <w:b/>
                <w:sz w:val="26"/>
                <w:szCs w:val="26"/>
              </w:rPr>
              <w:t>Điều 1.</w:t>
            </w:r>
            <w:r>
              <w:rPr>
                <w:rFonts w:ascii="Times New Roman" w:hAnsi="Times New Roman" w:cs="Times New Roman"/>
                <w:sz w:val="26"/>
                <w:szCs w:val="26"/>
              </w:rPr>
              <w:t xml:space="preserve"> Hỗ trợ kinh phí cho các Câu lạc bộ Liên thế hệ tự giúp nhau được thành lập mới trên địa bàn tỉnh Bắc Ninh, giai đoạn 2021 - 2025.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xml:space="preserve">1. Nguyên tắc hỗ trợ: Chỉ hỗ trợ 01 lần/1 Câu lạc bộ được thành lập mới.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xml:space="preserve">2. Mức hỗ trợ: 100.000.000 đồng/1 Câu lạc bộ.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Tổng số Câu lạc bộ được hỗ trợ giai đoạn 2021 - 2025 là: 40 Câu lạc bộ.</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xml:space="preserve">Trong đó: Mỗi năm hỗ trợ 08 Câu lạc bộ, với kinh phí là 800.000.000 đồng (tám trăm triệu đồng).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xml:space="preserve">- Tổng số kinh phí hỗ trợ giai đoạn 2021 - 2025 là: 4.000.000.000 đồng (Số tiền bằng chữ: Bốn tỷ đồng).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3. Nguồn kinh phí hỗ trợ: Từ ngân sách của tỉnh.</w:t>
            </w:r>
          </w:p>
        </w:tc>
        <w:tc>
          <w:tcPr>
            <w:tcW w:w="6095" w:type="dxa"/>
          </w:tcPr>
          <w:p>
            <w:pPr>
              <w:spacing w:line="320" w:lineRule="exact"/>
              <w:jc w:val="both"/>
              <w:rPr>
                <w:rFonts w:ascii="Times New Roman" w:hAnsi="Times New Roman" w:cs="Times New Roman"/>
                <w:b/>
                <w:iCs/>
                <w:sz w:val="26"/>
                <w:szCs w:val="26"/>
              </w:rPr>
            </w:pPr>
            <w:r>
              <w:rPr>
                <w:rFonts w:ascii="Times New Roman" w:hAnsi="Times New Roman" w:cs="Times New Roman"/>
                <w:b/>
                <w:iCs/>
                <w:sz w:val="26"/>
                <w:szCs w:val="26"/>
              </w:rPr>
              <w:t>Điều 1. Phạm vi điều chỉnh, đối tượng áp dụng</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1. Phạm vi điều chỉnh</w:t>
            </w:r>
          </w:p>
          <w:p>
            <w:pPr>
              <w:spacing w:line="320" w:lineRule="exact"/>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Nghị quyết quy định mức hỗ trợ kinh phí cho Câu lạc bộ liên thế hệ tự giúp nhau được thành lập mới trên địa bàn tỉnh Bắc Ninh giai đoạn 2026-2035 để tạo quỹ tăng thu nhập. </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2. Đối tượng áp dụng</w:t>
            </w:r>
          </w:p>
          <w:p>
            <w:pPr>
              <w:spacing w:line="320" w:lineRule="exact"/>
              <w:jc w:val="both"/>
              <w:rPr>
                <w:rFonts w:ascii="Times New Roman" w:hAnsi="Times New Roman" w:cs="Times New Roman"/>
                <w:bCs/>
                <w:sz w:val="26"/>
                <w:szCs w:val="26"/>
                <w:lang w:val="nl-NL"/>
              </w:rPr>
            </w:pPr>
            <w:r>
              <w:rPr>
                <w:rFonts w:ascii="Times New Roman" w:hAnsi="Times New Roman" w:cs="Times New Roman"/>
                <w:bCs/>
                <w:sz w:val="26"/>
                <w:szCs w:val="26"/>
                <w:lang w:val="nl-NL"/>
              </w:rPr>
              <w:t>a) Các Câu lạc bộ liên thế hệ tự giúp nhau được thành lập mới trên địa bàn tỉnh Bắc Ninh giai đoạn 2026 - 2035.</w:t>
            </w:r>
          </w:p>
          <w:p>
            <w:pPr>
              <w:spacing w:line="320" w:lineRule="exact"/>
              <w:jc w:val="both"/>
              <w:rPr>
                <w:rFonts w:ascii="Times New Roman" w:hAnsi="Times New Roman" w:cs="Times New Roman"/>
                <w:bCs/>
                <w:sz w:val="26"/>
                <w:szCs w:val="26"/>
              </w:rPr>
            </w:pPr>
            <w:r>
              <w:rPr>
                <w:rFonts w:ascii="Times New Roman" w:hAnsi="Times New Roman" w:cs="Times New Roman"/>
                <w:bCs/>
                <w:sz w:val="26"/>
                <w:szCs w:val="26"/>
              </w:rPr>
              <w:t>b) Cơ quan, đơn vị, tổ chức, cá nhân có liên quan trên địa bàn tỉnh.</w:t>
            </w:r>
          </w:p>
          <w:p>
            <w:pPr>
              <w:spacing w:line="320" w:lineRule="exact"/>
              <w:jc w:val="both"/>
              <w:rPr>
                <w:rFonts w:ascii="Times New Roman" w:hAnsi="Times New Roman" w:cs="Times New Roman"/>
                <w:b/>
                <w:bCs/>
                <w:iCs/>
                <w:sz w:val="26"/>
                <w:szCs w:val="26"/>
                <w:lang w:val="nl-NL"/>
              </w:rPr>
            </w:pPr>
            <w:r>
              <w:rPr>
                <w:rFonts w:ascii="Times New Roman" w:hAnsi="Times New Roman" w:cs="Times New Roman"/>
                <w:b/>
                <w:iCs/>
                <w:sz w:val="26"/>
                <w:szCs w:val="26"/>
              </w:rPr>
              <w:t xml:space="preserve">Điều 2. </w:t>
            </w:r>
            <w:r>
              <w:rPr>
                <w:rFonts w:ascii="Times New Roman" w:hAnsi="Times New Roman" w:cs="Times New Roman"/>
                <w:b/>
                <w:bCs/>
                <w:iCs/>
                <w:sz w:val="26"/>
                <w:szCs w:val="26"/>
                <w:lang w:val="nl-NL"/>
              </w:rPr>
              <w:t>Nguyên tắc, mức hỗ trợ kinh phí, nguồn kinh phí thực hiện</w:t>
            </w:r>
          </w:p>
          <w:p>
            <w:pPr>
              <w:spacing w:line="320" w:lineRule="exact"/>
              <w:jc w:val="both"/>
              <w:rPr>
                <w:rFonts w:ascii="Times New Roman" w:hAnsi="Times New Roman" w:cs="Times New Roman"/>
                <w:bCs/>
                <w:sz w:val="26"/>
                <w:szCs w:val="26"/>
                <w:lang w:val="nl-NL"/>
              </w:rPr>
            </w:pPr>
            <w:r>
              <w:rPr>
                <w:rFonts w:ascii="Times New Roman" w:hAnsi="Times New Roman" w:cs="Times New Roman"/>
                <w:bCs/>
                <w:sz w:val="26"/>
                <w:szCs w:val="26"/>
                <w:lang w:val="nl-NL"/>
              </w:rPr>
              <w:t>1. Nguyên tắc, mức hỗ trợ</w:t>
            </w:r>
          </w:p>
          <w:p>
            <w:pPr>
              <w:spacing w:line="320" w:lineRule="exact"/>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Hỗ trợ một lần, mức 100 triệu đồng cho 01 Câu lạc bộ liên thế hệ tự giúp nhau được thành lập mới để tạo quỹ tăng thu nhập. </w:t>
            </w:r>
          </w:p>
          <w:p>
            <w:pPr>
              <w:spacing w:line="320" w:lineRule="exact"/>
              <w:jc w:val="both"/>
              <w:rPr>
                <w:rFonts w:ascii="Times New Roman" w:hAnsi="Times New Roman" w:cs="Times New Roman"/>
                <w:bCs/>
                <w:sz w:val="26"/>
                <w:szCs w:val="26"/>
              </w:rPr>
            </w:pPr>
            <w:r>
              <w:rPr>
                <w:rFonts w:ascii="Times New Roman" w:hAnsi="Times New Roman" w:cs="Times New Roman"/>
                <w:bCs/>
                <w:sz w:val="26"/>
                <w:szCs w:val="26"/>
              </w:rPr>
              <w:t>2. Nguồn kinh phí thực hiện: Từ nguồn ngân sách của tỉnh.</w:t>
            </w:r>
          </w:p>
          <w:p>
            <w:pPr>
              <w:spacing w:line="320" w:lineRule="exact"/>
              <w:jc w:val="both"/>
              <w:rPr>
                <w:rFonts w:ascii="Times New Roman" w:hAnsi="Times New Roman" w:cs="Times New Roman"/>
                <w:sz w:val="26"/>
                <w:szCs w:val="26"/>
              </w:rPr>
            </w:pPr>
          </w:p>
        </w:tc>
        <w:tc>
          <w:tcPr>
            <w:tcW w:w="4111" w:type="dxa"/>
          </w:tcPr>
          <w:p>
            <w:pPr>
              <w:spacing w:line="320" w:lineRule="exact"/>
              <w:jc w:val="both"/>
              <w:rPr>
                <w:rFonts w:ascii="Times New Roman" w:hAnsi="Times New Roman" w:cs="Times New Roman"/>
                <w:sz w:val="26"/>
                <w:szCs w:val="26"/>
                <w:lang w:val="nl-NL"/>
              </w:rPr>
            </w:pPr>
            <w:r>
              <w:rPr>
                <w:rFonts w:ascii="Times New Roman" w:hAnsi="Times New Roman" w:cs="Times New Roman"/>
                <w:sz w:val="26"/>
                <w:szCs w:val="26"/>
              </w:rPr>
              <w:t xml:space="preserve">- Cơ bản nội dung kế thừa theo quy định tại Điều 1 </w:t>
            </w:r>
            <w:r>
              <w:rPr>
                <w:rFonts w:ascii="Times New Roman" w:hAnsi="Times New Roman" w:cs="Times New Roman"/>
                <w:bCs/>
                <w:sz w:val="26"/>
                <w:szCs w:val="26"/>
              </w:rPr>
              <w:t>Nghị quyết số 15/2021/NQ-HĐND</w:t>
            </w:r>
            <w:r>
              <w:rPr>
                <w:rFonts w:ascii="Times New Roman" w:hAnsi="Times New Roman" w:cs="Times New Roman"/>
                <w:sz w:val="26"/>
                <w:szCs w:val="26"/>
                <w:lang w:val="nl-NL"/>
              </w:rPr>
              <w:t>.</w:t>
            </w:r>
          </w:p>
          <w:p>
            <w:pPr>
              <w:spacing w:line="320" w:lineRule="exact"/>
              <w:jc w:val="both"/>
              <w:rPr>
                <w:rFonts w:ascii="Times New Roman" w:hAnsi="Times New Roman" w:cs="Times New Roman"/>
                <w:sz w:val="26"/>
                <w:szCs w:val="26"/>
                <w:lang w:val="nl-NL"/>
              </w:rPr>
            </w:pPr>
            <w:r>
              <w:rPr>
                <w:rFonts w:ascii="Times New Roman" w:hAnsi="Times New Roman" w:cs="Times New Roman"/>
                <w:sz w:val="26"/>
                <w:szCs w:val="26"/>
                <w:lang w:val="nl-NL"/>
              </w:rPr>
              <w:t>- Hỗ trợ 249 câu lạc bộ thành lập mới trong giai đoạn 2026-2035 (</w:t>
            </w:r>
            <w:r>
              <w:rPr>
                <w:rFonts w:ascii="Times New Roman" w:hAnsi="Times New Roman" w:cs="Times New Roman"/>
                <w:bCs/>
                <w:sz w:val="26"/>
                <w:szCs w:val="26"/>
                <w:lang w:val="nl-NL"/>
              </w:rPr>
              <w:t xml:space="preserve">giai đoạn 2026-2030 là 73 câu lạc bộ, giai đoạn 2031-2035 là 176 câu lạc bộ) </w:t>
            </w:r>
            <w:r>
              <w:rPr>
                <w:rFonts w:ascii="Times New Roman" w:hAnsi="Times New Roman" w:cs="Times New Roman"/>
                <w:sz w:val="26"/>
                <w:szCs w:val="26"/>
                <w:lang w:val="nl-NL"/>
              </w:rPr>
              <w:t>để thực hiện:</w:t>
            </w:r>
          </w:p>
          <w:p>
            <w:pPr>
              <w:spacing w:line="320" w:lineRule="exact"/>
              <w:jc w:val="both"/>
              <w:rPr>
                <w:rFonts w:ascii="Times New Roman" w:hAnsi="Times New Roman" w:cs="Times New Roman"/>
                <w:sz w:val="26"/>
                <w:szCs w:val="26"/>
              </w:rPr>
            </w:pPr>
            <w:r>
              <w:rPr>
                <w:rFonts w:ascii="Times New Roman" w:hAnsi="Times New Roman" w:cs="Times New Roman"/>
                <w:sz w:val="26"/>
                <w:szCs w:val="26"/>
                <w:lang w:val="nl-NL"/>
              </w:rPr>
              <w:t xml:space="preserve">+ Mục tiêu tiếp tục xây dựng, nhân rộng Câu lạc bộ </w:t>
            </w:r>
            <w:r>
              <w:rPr>
                <w:rFonts w:ascii="Times New Roman" w:hAnsi="Times New Roman" w:cs="Times New Roman"/>
                <w:sz w:val="26"/>
                <w:szCs w:val="26"/>
                <w:lang w:val="vi-VN"/>
              </w:rPr>
              <w:t>Liên thế hệ tự giúp nhau</w:t>
            </w:r>
            <w:r>
              <w:rPr>
                <w:rFonts w:ascii="Times New Roman" w:hAnsi="Times New Roman" w:cs="Times New Roman"/>
                <w:sz w:val="26"/>
                <w:szCs w:val="26"/>
              </w:rPr>
              <w:t xml:space="preserve"> đã đề ra tại Kế hoạch số 62/KH-UBND ngày 11/3/2026 của UBND tỉnh về thực hiện Đề án nhân rộng Câu lạc bộ liên thế hệ tự giúp nhau trên địa bàn tỉnh đến năm 2035</w:t>
            </w:r>
          </w:p>
          <w:p>
            <w:pPr>
              <w:spacing w:line="320" w:lineRule="exac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vi-VN"/>
              </w:rPr>
              <w:t>Quyết định số 1648/QĐ-TTg ngày 01</w:t>
            </w:r>
            <w:r>
              <w:rPr>
                <w:rFonts w:ascii="Times New Roman" w:hAnsi="Times New Roman" w:cs="Times New Roman"/>
                <w:sz w:val="26"/>
                <w:szCs w:val="26"/>
              </w:rPr>
              <w:t>/</w:t>
            </w:r>
            <w:r>
              <w:rPr>
                <w:rFonts w:ascii="Times New Roman" w:hAnsi="Times New Roman" w:cs="Times New Roman"/>
                <w:sz w:val="26"/>
                <w:szCs w:val="26"/>
                <w:lang w:val="vi-VN"/>
              </w:rPr>
              <w:t>8</w:t>
            </w:r>
            <w:r>
              <w:rPr>
                <w:rFonts w:ascii="Times New Roman" w:hAnsi="Times New Roman" w:cs="Times New Roman"/>
                <w:sz w:val="26"/>
                <w:szCs w:val="26"/>
              </w:rPr>
              <w:t>/</w:t>
            </w:r>
            <w:r>
              <w:rPr>
                <w:rFonts w:ascii="Times New Roman" w:hAnsi="Times New Roman" w:cs="Times New Roman"/>
                <w:sz w:val="26"/>
                <w:szCs w:val="26"/>
                <w:lang w:val="vi-VN"/>
              </w:rPr>
              <w:t>2025 của Thủ tướng Chính phủ phê duyệt Đề án nhân rộng Câu lạc bộ liên thế hệ tự giúp nhau đến năm 2035</w:t>
            </w:r>
          </w:p>
          <w:p>
            <w:pPr>
              <w:spacing w:line="320" w:lineRule="exact"/>
              <w:jc w:val="both"/>
              <w:rPr>
                <w:rFonts w:ascii="Times New Roman" w:hAnsi="Times New Roman" w:cs="Times New Roman"/>
                <w:sz w:val="26"/>
                <w:szCs w:val="26"/>
              </w:rPr>
            </w:pPr>
          </w:p>
        </w:tc>
      </w:tr>
      <w:tr>
        <w:tc>
          <w:tcPr>
            <w:tcW w:w="708" w:type="dxa"/>
          </w:tcPr>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r>
              <w:rPr>
                <w:rFonts w:ascii="Times New Roman" w:hAnsi="Times New Roman" w:cs="Times New Roman"/>
                <w:sz w:val="26"/>
                <w:szCs w:val="26"/>
              </w:rPr>
              <w:t>2</w:t>
            </w:r>
          </w:p>
        </w:tc>
        <w:tc>
          <w:tcPr>
            <w:tcW w:w="4532" w:type="dxa"/>
          </w:tcPr>
          <w:p>
            <w:pPr>
              <w:spacing w:line="320" w:lineRule="exact"/>
              <w:jc w:val="both"/>
              <w:rPr>
                <w:rFonts w:ascii="Times New Roman" w:hAnsi="Times New Roman" w:cs="Times New Roman"/>
                <w:sz w:val="26"/>
                <w:szCs w:val="26"/>
              </w:rPr>
            </w:pPr>
            <w:r>
              <w:rPr>
                <w:rFonts w:ascii="Times New Roman" w:hAnsi="Times New Roman" w:cs="Times New Roman"/>
                <w:b/>
                <w:sz w:val="26"/>
                <w:szCs w:val="26"/>
              </w:rPr>
              <w:t>Điều 2</w:t>
            </w:r>
            <w:r>
              <w:rPr>
                <w:rFonts w:ascii="Times New Roman" w:hAnsi="Times New Roman" w:cs="Times New Roman"/>
                <w:sz w:val="26"/>
                <w:szCs w:val="26"/>
              </w:rPr>
              <w:t>. Giao Ủy ban nhân dân tỉnh tổ chức thực hiện Nghị quyết này. Chị đạo các đơn vị, tổ chức liên quan xây dựng quy chế hỗ trợ cụ thể, rõ ràng, đảm bảo sự công bằng giữa các Câu lạc bộ Liên thế hệ. Hằng năm, báo cáo kết quả thực hiện tại kỳ họp thường lệ cuối năm của Hội đồng nhân dân tỉnh.</w:t>
            </w:r>
          </w:p>
          <w:p>
            <w:pPr>
              <w:spacing w:line="320" w:lineRule="exact"/>
              <w:jc w:val="both"/>
              <w:rPr>
                <w:rFonts w:ascii="Times New Roman" w:hAnsi="Times New Roman" w:cs="Times New Roman"/>
                <w:sz w:val="26"/>
                <w:szCs w:val="26"/>
              </w:rPr>
            </w:pPr>
          </w:p>
        </w:tc>
        <w:tc>
          <w:tcPr>
            <w:tcW w:w="6095" w:type="dxa"/>
            <w:vMerge w:val="restart"/>
          </w:tcPr>
          <w:p>
            <w:pPr>
              <w:spacing w:line="320" w:lineRule="exact"/>
              <w:jc w:val="both"/>
              <w:rPr>
                <w:rFonts w:ascii="Times New Roman" w:hAnsi="Times New Roman" w:cs="Times New Roman"/>
                <w:b/>
                <w:bCs/>
                <w:iCs/>
                <w:sz w:val="26"/>
                <w:szCs w:val="26"/>
                <w:lang w:val="x-none"/>
              </w:rPr>
            </w:pPr>
            <w:r>
              <w:rPr>
                <w:rFonts w:ascii="Times New Roman" w:hAnsi="Times New Roman" w:cs="Times New Roman"/>
                <w:b/>
                <w:bCs/>
                <w:iCs/>
                <w:sz w:val="26"/>
                <w:szCs w:val="26"/>
                <w:lang w:val="x-none"/>
              </w:rPr>
              <w:t xml:space="preserve">Điều </w:t>
            </w:r>
            <w:r>
              <w:rPr>
                <w:rFonts w:ascii="Times New Roman" w:hAnsi="Times New Roman" w:cs="Times New Roman"/>
                <w:b/>
                <w:bCs/>
                <w:iCs/>
                <w:sz w:val="26"/>
                <w:szCs w:val="26"/>
              </w:rPr>
              <w:t>3</w:t>
            </w:r>
            <w:r>
              <w:rPr>
                <w:rFonts w:ascii="Times New Roman" w:hAnsi="Times New Roman" w:cs="Times New Roman"/>
                <w:b/>
                <w:bCs/>
                <w:iCs/>
                <w:sz w:val="26"/>
                <w:szCs w:val="26"/>
                <w:lang w:val="x-none"/>
              </w:rPr>
              <w:t>. Tổ chức thực hiện</w:t>
            </w:r>
          </w:p>
          <w:p>
            <w:pPr>
              <w:spacing w:line="320" w:lineRule="exact"/>
              <w:jc w:val="both"/>
              <w:rPr>
                <w:rFonts w:ascii="Times New Roman" w:hAnsi="Times New Roman" w:cs="Times New Roman"/>
                <w:bCs/>
                <w:iCs/>
                <w:sz w:val="26"/>
                <w:szCs w:val="26"/>
                <w:lang w:val="x-none"/>
              </w:rPr>
            </w:pPr>
            <w:r>
              <w:rPr>
                <w:rFonts w:ascii="Times New Roman" w:hAnsi="Times New Roman" w:cs="Times New Roman"/>
                <w:bCs/>
                <w:iCs/>
                <w:sz w:val="26"/>
                <w:szCs w:val="26"/>
              </w:rPr>
              <w:t xml:space="preserve">1. </w:t>
            </w:r>
            <w:r>
              <w:rPr>
                <w:rFonts w:ascii="Times New Roman" w:hAnsi="Times New Roman" w:cs="Times New Roman"/>
                <w:bCs/>
                <w:iCs/>
                <w:sz w:val="26"/>
                <w:szCs w:val="26"/>
                <w:lang w:val="x-none"/>
              </w:rPr>
              <w:t>Giao Ủy ban nhân dân tỉnh tổ chức thực hiện Nghị quyết</w:t>
            </w:r>
            <w:r>
              <w:rPr>
                <w:rFonts w:ascii="Times New Roman" w:hAnsi="Times New Roman" w:cs="Times New Roman"/>
                <w:bCs/>
                <w:iCs/>
                <w:sz w:val="26"/>
                <w:szCs w:val="26"/>
              </w:rPr>
              <w:t xml:space="preserve"> này</w:t>
            </w:r>
            <w:r>
              <w:rPr>
                <w:rFonts w:ascii="Times New Roman" w:hAnsi="Times New Roman" w:cs="Times New Roman"/>
                <w:bCs/>
                <w:iCs/>
                <w:sz w:val="26"/>
                <w:szCs w:val="26"/>
                <w:lang w:val="x-none"/>
              </w:rPr>
              <w:t>.</w:t>
            </w:r>
          </w:p>
          <w:p>
            <w:pPr>
              <w:spacing w:line="320" w:lineRule="exact"/>
              <w:jc w:val="both"/>
              <w:rPr>
                <w:rFonts w:ascii="Times New Roman" w:hAnsi="Times New Roman" w:cs="Times New Roman"/>
                <w:bCs/>
                <w:iCs/>
                <w:sz w:val="26"/>
                <w:szCs w:val="26"/>
              </w:rPr>
            </w:pPr>
            <w:r>
              <w:rPr>
                <w:rFonts w:ascii="Times New Roman" w:hAnsi="Times New Roman" w:cs="Times New Roman"/>
                <w:bCs/>
                <w:iCs/>
                <w:sz w:val="26"/>
                <w:szCs w:val="26"/>
              </w:rPr>
              <w:t>2. Nghị quyết này có hiệu lực kể từ ngày ... tháng ... năm 2026. Nghị quyết này bãi bỏ Nghị quyết số 15/2021/NQ-HĐND ngày 08 tháng 12 năm 2021 của Hội đồng nhân dân tỉnh Bắc Ninh V/v Hỗ trợ kinh phí cho Câu lạc bộ Liên thế hệ tự giúp nhau được thành lập mới trên địa bàn tỉnh Bắc Ninh, giai đoạn 2021-2025.</w:t>
            </w:r>
          </w:p>
          <w:p>
            <w:pPr>
              <w:spacing w:line="320" w:lineRule="exact"/>
              <w:jc w:val="both"/>
              <w:rPr>
                <w:rFonts w:ascii="Times New Roman" w:hAnsi="Times New Roman" w:cs="Times New Roman"/>
                <w:bCs/>
                <w:iCs/>
                <w:sz w:val="26"/>
                <w:szCs w:val="26"/>
                <w:lang w:val="vi-VN"/>
              </w:rPr>
            </w:pPr>
            <w:r>
              <w:rPr>
                <w:rFonts w:ascii="Times New Roman" w:hAnsi="Times New Roman" w:cs="Times New Roman"/>
                <w:bCs/>
                <w:i/>
                <w:iCs/>
                <w:sz w:val="26"/>
                <w:szCs w:val="26"/>
                <w:lang w:val="vi-VN"/>
              </w:rPr>
              <w:t xml:space="preserve">Nghị quyết này </w:t>
            </w:r>
            <w:r>
              <w:rPr>
                <w:rFonts w:ascii="Times New Roman" w:hAnsi="Times New Roman" w:cs="Times New Roman"/>
                <w:bCs/>
                <w:i/>
                <w:iCs/>
                <w:sz w:val="26"/>
                <w:szCs w:val="26"/>
              </w:rPr>
              <w:t xml:space="preserve">đã </w:t>
            </w:r>
            <w:r>
              <w:rPr>
                <w:rFonts w:ascii="Times New Roman" w:hAnsi="Times New Roman" w:cs="Times New Roman"/>
                <w:bCs/>
                <w:i/>
                <w:iCs/>
                <w:sz w:val="26"/>
                <w:szCs w:val="26"/>
                <w:lang w:val="vi-VN"/>
              </w:rPr>
              <w:t>được</w:t>
            </w:r>
            <w:r>
              <w:rPr>
                <w:rFonts w:ascii="Times New Roman" w:hAnsi="Times New Roman" w:cs="Times New Roman"/>
                <w:bCs/>
                <w:i/>
                <w:iCs/>
                <w:sz w:val="26"/>
                <w:szCs w:val="26"/>
              </w:rPr>
              <w:t xml:space="preserve"> </w:t>
            </w:r>
            <w:r>
              <w:rPr>
                <w:rFonts w:ascii="Times New Roman" w:hAnsi="Times New Roman" w:cs="Times New Roman"/>
                <w:bCs/>
                <w:i/>
                <w:iCs/>
                <w:sz w:val="26"/>
                <w:szCs w:val="26"/>
                <w:lang w:val="vi-VN"/>
              </w:rPr>
              <w:t xml:space="preserve">Hội đồng nhân dân tỉnh </w:t>
            </w:r>
            <w:r>
              <w:rPr>
                <w:rFonts w:ascii="Times New Roman" w:hAnsi="Times New Roman" w:cs="Times New Roman"/>
                <w:bCs/>
                <w:i/>
                <w:iCs/>
                <w:sz w:val="26"/>
                <w:szCs w:val="26"/>
              </w:rPr>
              <w:t xml:space="preserve">Bắc Ninh </w:t>
            </w:r>
            <w:r>
              <w:rPr>
                <w:rFonts w:ascii="Times New Roman" w:hAnsi="Times New Roman" w:cs="Times New Roman"/>
                <w:bCs/>
                <w:i/>
                <w:iCs/>
                <w:sz w:val="26"/>
                <w:szCs w:val="26"/>
                <w:lang w:val="vi-VN"/>
              </w:rPr>
              <w:t xml:space="preserve">khóa </w:t>
            </w:r>
            <w:r>
              <w:rPr>
                <w:rFonts w:ascii="Times New Roman" w:hAnsi="Times New Roman" w:cs="Times New Roman"/>
                <w:bCs/>
                <w:i/>
                <w:iCs/>
                <w:sz w:val="26"/>
                <w:szCs w:val="26"/>
              </w:rPr>
              <w:t>…..</w:t>
            </w:r>
            <w:r>
              <w:rPr>
                <w:rFonts w:ascii="Times New Roman" w:hAnsi="Times New Roman" w:cs="Times New Roman"/>
                <w:bCs/>
                <w:i/>
                <w:iCs/>
                <w:sz w:val="26"/>
                <w:szCs w:val="26"/>
                <w:lang w:val="vi-VN"/>
              </w:rPr>
              <w:t xml:space="preserve">, </w:t>
            </w:r>
            <w:r>
              <w:rPr>
                <w:rFonts w:ascii="Times New Roman" w:hAnsi="Times New Roman" w:cs="Times New Roman"/>
                <w:bCs/>
                <w:i/>
                <w:iCs/>
                <w:sz w:val="26"/>
                <w:szCs w:val="26"/>
              </w:rPr>
              <w:t>K</w:t>
            </w:r>
            <w:r>
              <w:rPr>
                <w:rFonts w:ascii="Times New Roman" w:hAnsi="Times New Roman" w:cs="Times New Roman"/>
                <w:bCs/>
                <w:i/>
                <w:iCs/>
                <w:sz w:val="26"/>
                <w:szCs w:val="26"/>
                <w:lang w:val="vi-VN"/>
              </w:rPr>
              <w:t xml:space="preserve">ỳ họp thứ </w:t>
            </w:r>
            <w:r>
              <w:rPr>
                <w:rFonts w:ascii="Times New Roman" w:hAnsi="Times New Roman" w:cs="Times New Roman"/>
                <w:bCs/>
                <w:i/>
                <w:iCs/>
                <w:sz w:val="26"/>
                <w:szCs w:val="26"/>
              </w:rPr>
              <w:t>… thông qua</w:t>
            </w:r>
            <w:r>
              <w:rPr>
                <w:rFonts w:ascii="Times New Roman" w:hAnsi="Times New Roman" w:cs="Times New Roman"/>
                <w:bCs/>
                <w:i/>
                <w:iCs/>
                <w:sz w:val="26"/>
                <w:szCs w:val="26"/>
                <w:lang w:val="vi-VN"/>
              </w:rPr>
              <w:t xml:space="preserve"> ngày … tháng </w:t>
            </w:r>
            <w:r>
              <w:rPr>
                <w:rFonts w:ascii="Times New Roman" w:hAnsi="Times New Roman" w:cs="Times New Roman"/>
                <w:bCs/>
                <w:i/>
                <w:iCs/>
                <w:sz w:val="26"/>
                <w:szCs w:val="26"/>
              </w:rPr>
              <w:t>….</w:t>
            </w:r>
            <w:r>
              <w:rPr>
                <w:rFonts w:ascii="Times New Roman" w:hAnsi="Times New Roman" w:cs="Times New Roman"/>
                <w:bCs/>
                <w:i/>
                <w:iCs/>
                <w:sz w:val="26"/>
                <w:szCs w:val="26"/>
                <w:lang w:val="vi-VN"/>
              </w:rPr>
              <w:t xml:space="preserve"> năm </w:t>
            </w:r>
            <w:r>
              <w:rPr>
                <w:rFonts w:ascii="Times New Roman" w:hAnsi="Times New Roman" w:cs="Times New Roman"/>
                <w:bCs/>
                <w:i/>
                <w:iCs/>
                <w:sz w:val="26"/>
                <w:szCs w:val="26"/>
              </w:rPr>
              <w:t>2026</w:t>
            </w:r>
            <w:r>
              <w:rPr>
                <w:rFonts w:ascii="Times New Roman" w:hAnsi="Times New Roman" w:cs="Times New Roman"/>
                <w:bCs/>
                <w:iCs/>
                <w:sz w:val="26"/>
                <w:szCs w:val="26"/>
                <w:lang w:val="vi-VN"/>
              </w:rPr>
              <w:t>./.</w:t>
            </w:r>
          </w:p>
          <w:p>
            <w:pPr>
              <w:spacing w:line="320" w:lineRule="exact"/>
              <w:jc w:val="both"/>
              <w:rPr>
                <w:rFonts w:ascii="Times New Roman" w:hAnsi="Times New Roman" w:cs="Times New Roman"/>
                <w:sz w:val="26"/>
                <w:szCs w:val="26"/>
              </w:rPr>
            </w:pPr>
            <w:bookmarkStart w:id="0" w:name="_GoBack"/>
            <w:bookmarkEnd w:id="0"/>
          </w:p>
        </w:tc>
        <w:tc>
          <w:tcPr>
            <w:tcW w:w="4111" w:type="dxa"/>
            <w:vMerge w:val="restart"/>
          </w:tcPr>
          <w:p>
            <w:pPr>
              <w:spacing w:line="320" w:lineRule="exact"/>
              <w:jc w:val="both"/>
              <w:rPr>
                <w:rFonts w:ascii="Times New Roman" w:hAnsi="Times New Roman" w:cs="Times New Roman"/>
                <w:sz w:val="26"/>
                <w:szCs w:val="26"/>
              </w:rPr>
            </w:pPr>
          </w:p>
          <w:p>
            <w:pPr>
              <w:spacing w:line="320" w:lineRule="exact"/>
              <w:jc w:val="both"/>
              <w:rPr>
                <w:rFonts w:ascii="Times New Roman" w:hAnsi="Times New Roman" w:cs="Times New Roman"/>
                <w:sz w:val="26"/>
                <w:szCs w:val="26"/>
              </w:rPr>
            </w:pPr>
          </w:p>
          <w:p>
            <w:pPr>
              <w:spacing w:line="320" w:lineRule="exact"/>
              <w:jc w:val="both"/>
              <w:rPr>
                <w:rFonts w:ascii="Times New Roman" w:hAnsi="Times New Roman" w:cs="Times New Roman"/>
                <w:sz w:val="26"/>
                <w:szCs w:val="26"/>
              </w:rPr>
            </w:pPr>
          </w:p>
          <w:p>
            <w:pPr>
              <w:spacing w:line="320" w:lineRule="exact"/>
              <w:jc w:val="both"/>
              <w:rPr>
                <w:rFonts w:ascii="Times New Roman" w:hAnsi="Times New Roman" w:cs="Times New Roman"/>
                <w:sz w:val="26"/>
                <w:szCs w:val="26"/>
                <w:lang w:val="vi-VN"/>
              </w:rPr>
            </w:pPr>
          </w:p>
          <w:p>
            <w:pPr>
              <w:spacing w:line="320" w:lineRule="exact"/>
              <w:jc w:val="both"/>
              <w:rPr>
                <w:rFonts w:ascii="Times New Roman" w:hAnsi="Times New Roman" w:cs="Times New Roman"/>
                <w:sz w:val="26"/>
                <w:szCs w:val="26"/>
                <w:lang w:val="vi-VN"/>
              </w:rPr>
            </w:pPr>
          </w:p>
          <w:p>
            <w:pPr>
              <w:spacing w:line="320" w:lineRule="exact"/>
              <w:jc w:val="both"/>
              <w:rPr>
                <w:rFonts w:ascii="Times New Roman" w:hAnsi="Times New Roman" w:cs="Times New Roman"/>
                <w:sz w:val="26"/>
                <w:szCs w:val="26"/>
                <w:lang w:val="vi-VN"/>
              </w:rPr>
            </w:pPr>
          </w:p>
          <w:p>
            <w:pPr>
              <w:spacing w:line="320" w:lineRule="exact"/>
              <w:jc w:val="both"/>
              <w:rPr>
                <w:rFonts w:ascii="Times New Roman" w:hAnsi="Times New Roman" w:cs="Times New Roman"/>
                <w:sz w:val="26"/>
                <w:szCs w:val="26"/>
                <w:lang w:val="vi-VN"/>
              </w:rPr>
            </w:pPr>
          </w:p>
          <w:p>
            <w:pPr>
              <w:spacing w:line="320" w:lineRule="exact"/>
              <w:jc w:val="both"/>
              <w:rPr>
                <w:rFonts w:ascii="Times New Roman" w:hAnsi="Times New Roman" w:cs="Times New Roman"/>
                <w:sz w:val="26"/>
                <w:szCs w:val="26"/>
                <w:lang w:val="vi-VN"/>
              </w:rPr>
            </w:pPr>
          </w:p>
          <w:p>
            <w:pPr>
              <w:spacing w:line="320" w:lineRule="exact"/>
              <w:jc w:val="both"/>
              <w:rPr>
                <w:rFonts w:ascii="Times New Roman" w:hAnsi="Times New Roman" w:cs="Times New Roman"/>
                <w:sz w:val="26"/>
                <w:szCs w:val="26"/>
              </w:rPr>
            </w:pPr>
            <w:r>
              <w:rPr>
                <w:rFonts w:ascii="Times New Roman" w:hAnsi="Times New Roman" w:cs="Times New Roman"/>
                <w:sz w:val="26"/>
                <w:szCs w:val="26"/>
                <w:lang w:val="vi-VN"/>
              </w:rPr>
              <w:t>Đảm bảo phù hợp với quy định của pháp luật hiện hành</w:t>
            </w:r>
          </w:p>
        </w:tc>
      </w:tr>
      <w:tr>
        <w:tc>
          <w:tcPr>
            <w:tcW w:w="708" w:type="dxa"/>
          </w:tcPr>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p>
          <w:p>
            <w:pPr>
              <w:spacing w:line="320" w:lineRule="exact"/>
              <w:jc w:val="center"/>
              <w:rPr>
                <w:rFonts w:ascii="Times New Roman" w:hAnsi="Times New Roman" w:cs="Times New Roman"/>
                <w:sz w:val="26"/>
                <w:szCs w:val="26"/>
              </w:rPr>
            </w:pPr>
            <w:r>
              <w:rPr>
                <w:rFonts w:ascii="Times New Roman" w:hAnsi="Times New Roman" w:cs="Times New Roman"/>
                <w:sz w:val="26"/>
                <w:szCs w:val="26"/>
              </w:rPr>
              <w:t>3</w:t>
            </w:r>
          </w:p>
        </w:tc>
        <w:tc>
          <w:tcPr>
            <w:tcW w:w="4532" w:type="dxa"/>
          </w:tcPr>
          <w:p>
            <w:pPr>
              <w:spacing w:line="320" w:lineRule="exact"/>
              <w:jc w:val="both"/>
              <w:rPr>
                <w:rFonts w:ascii="Times New Roman" w:hAnsi="Times New Roman" w:cs="Times New Roman"/>
                <w:iCs/>
                <w:sz w:val="26"/>
                <w:szCs w:val="26"/>
              </w:rPr>
            </w:pPr>
            <w:r>
              <w:rPr>
                <w:rFonts w:ascii="Times New Roman" w:hAnsi="Times New Roman" w:cs="Times New Roman"/>
                <w:b/>
                <w:iCs/>
                <w:sz w:val="26"/>
                <w:szCs w:val="26"/>
              </w:rPr>
              <w:t>Điều 3</w:t>
            </w:r>
            <w:r>
              <w:rPr>
                <w:rFonts w:ascii="Times New Roman" w:hAnsi="Times New Roman" w:cs="Times New Roman"/>
                <w:iCs/>
                <w:sz w:val="26"/>
                <w:szCs w:val="26"/>
              </w:rPr>
              <w:t>. Thường trực Hội đồng nhân dân, các Ban Hội đồng nhân dân, các Tổ đại biểu và đại biểu Hội đồng nhân dân tỉnh có trách nhiệm đôn đốc, giám sát, kiểm tra việc thực hiện Nghị quyết này. Nghị quyết được Hội đồng nhân dân tỉnh Bắc Ninh khóa XIX, kỳ họp thứ thông qua ngày 08 tháng 12 năm 2021 và có hiệu lực từ ngày 20 tháng năm 2021</w:t>
            </w:r>
          </w:p>
          <w:p>
            <w:pPr>
              <w:spacing w:line="320" w:lineRule="exact"/>
              <w:jc w:val="both"/>
              <w:rPr>
                <w:rFonts w:ascii="Times New Roman" w:hAnsi="Times New Roman" w:cs="Times New Roman"/>
                <w:iCs/>
                <w:sz w:val="26"/>
                <w:szCs w:val="26"/>
              </w:rPr>
            </w:pPr>
            <w:r>
              <w:rPr>
                <w:rFonts w:ascii="Times New Roman" w:hAnsi="Times New Roman" w:cs="Times New Roman"/>
                <w:iCs/>
                <w:sz w:val="26"/>
                <w:szCs w:val="26"/>
              </w:rPr>
              <w:t xml:space="preserve">Nghị quyết này được Hội đồng nhân dân tỉnh Bắc Giang khóa XIX, kỳ họp thứ 25 thông qua ngày 19 tháng 02 năm 2025 và có hiệu lực từ ngày 01 tháng 3 năm 2025. </w:t>
            </w:r>
          </w:p>
        </w:tc>
        <w:tc>
          <w:tcPr>
            <w:tcW w:w="6095" w:type="dxa"/>
            <w:vMerge/>
          </w:tcPr>
          <w:p>
            <w:pPr>
              <w:spacing w:line="320" w:lineRule="exact"/>
              <w:jc w:val="both"/>
              <w:rPr>
                <w:rFonts w:ascii="Times New Roman" w:hAnsi="Times New Roman" w:cs="Times New Roman"/>
                <w:iCs/>
                <w:sz w:val="26"/>
                <w:szCs w:val="26"/>
              </w:rPr>
            </w:pPr>
          </w:p>
        </w:tc>
        <w:tc>
          <w:tcPr>
            <w:tcW w:w="4111" w:type="dxa"/>
            <w:vMerge/>
          </w:tcPr>
          <w:p>
            <w:pPr>
              <w:spacing w:line="320" w:lineRule="exact"/>
              <w:jc w:val="both"/>
              <w:rPr>
                <w:rFonts w:ascii="Times New Roman" w:hAnsi="Times New Roman" w:cs="Times New Roman"/>
                <w:sz w:val="26"/>
                <w:szCs w:val="26"/>
              </w:rPr>
            </w:pPr>
          </w:p>
        </w:tc>
      </w:tr>
    </w:tbl>
    <w:p>
      <w:pPr>
        <w:spacing w:after="0" w:line="320" w:lineRule="exact"/>
        <w:rPr>
          <w:rFonts w:ascii="Times New Roman" w:hAnsi="Times New Roman" w:cs="Times New Roman"/>
          <w:sz w:val="26"/>
          <w:szCs w:val="26"/>
        </w:rPr>
      </w:pPr>
    </w:p>
    <w:sectPr>
      <w:pgSz w:w="16840" w:h="11907" w:orient="landscape"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86B14"/>
    <w:multiLevelType w:val="hybridMultilevel"/>
    <w:tmpl w:val="71BE1B4A"/>
    <w:lvl w:ilvl="0" w:tplc="F12CDB1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4E5D68"/>
    <w:multiLevelType w:val="hybridMultilevel"/>
    <w:tmpl w:val="1F10EB36"/>
    <w:lvl w:ilvl="0" w:tplc="472489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CC1DBE-95BD-4ED7-B0F6-F654FA08D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CharCharCharChar">
    <w:name w:val="Char Char Char Char"/>
    <w:basedOn w:val="Normal"/>
    <w:pPr>
      <w:spacing w:after="0" w:line="240" w:lineRule="auto"/>
    </w:pPr>
    <w:rPr>
      <w:rFonts w:ascii="Arial" w:eastAsia="Times New Roman" w:hAnsi="Arial" w:cs="Arial"/>
      <w:lang w:val="en-AU"/>
    </w:rPr>
  </w:style>
  <w:style w:type="paragraph" w:styleId="NormalWeb">
    <w:name w:val="Normal (Web)"/>
    <w:basedOn w:val="Normal"/>
    <w:uiPriority w:val="99"/>
    <w:pPr>
      <w:spacing w:before="100" w:beforeAutospacing="1" w:after="100" w:afterAutospacing="1" w:line="288" w:lineRule="auto"/>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99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2026-05-26T08:27:00Z</dcterms:created>
  <dcterms:modified xsi:type="dcterms:W3CDTF">2026-05-26T08:27:00Z</dcterms:modified>
</cp:coreProperties>
</file>